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968" w:type="dxa"/>
        <w:tblLook w:val="04A0" w:firstRow="1" w:lastRow="0" w:firstColumn="1" w:lastColumn="0" w:noHBand="0" w:noVBand="1"/>
      </w:tblPr>
      <w:tblGrid>
        <w:gridCol w:w="1548"/>
        <w:gridCol w:w="3690"/>
        <w:gridCol w:w="3690"/>
        <w:gridCol w:w="3600"/>
        <w:gridCol w:w="1440"/>
      </w:tblGrid>
      <w:tr w:rsidR="00C17C12" w:rsidTr="00033AC0">
        <w:tc>
          <w:tcPr>
            <w:tcW w:w="1548" w:type="dxa"/>
          </w:tcPr>
          <w:p w:rsidR="00C17C12" w:rsidRPr="00071763" w:rsidRDefault="00C17C12">
            <w:pPr>
              <w:rPr>
                <w:rFonts w:ascii="Times New Roman" w:hAnsi="Times New Roman" w:cs="Times New Roman"/>
                <w:b/>
                <w:sz w:val="24"/>
                <w:szCs w:val="24"/>
              </w:rPr>
            </w:pPr>
            <w:bookmarkStart w:id="0" w:name="_GoBack"/>
            <w:bookmarkEnd w:id="0"/>
            <w:r w:rsidRPr="00071763">
              <w:rPr>
                <w:rFonts w:ascii="Times New Roman" w:hAnsi="Times New Roman" w:cs="Times New Roman"/>
                <w:b/>
                <w:sz w:val="24"/>
                <w:szCs w:val="24"/>
              </w:rPr>
              <w:t xml:space="preserve">Type of causative link </w:t>
            </w:r>
          </w:p>
        </w:tc>
        <w:tc>
          <w:tcPr>
            <w:tcW w:w="3690" w:type="dxa"/>
          </w:tcPr>
          <w:p w:rsidR="00C17C12" w:rsidRPr="00071763" w:rsidRDefault="00C17C12">
            <w:pPr>
              <w:rPr>
                <w:rFonts w:ascii="Times New Roman" w:hAnsi="Times New Roman" w:cs="Times New Roman"/>
                <w:i/>
                <w:sz w:val="24"/>
                <w:szCs w:val="24"/>
              </w:rPr>
            </w:pPr>
            <w:r w:rsidRPr="00071763">
              <w:rPr>
                <w:rFonts w:ascii="Times New Roman" w:hAnsi="Times New Roman" w:cs="Times New Roman"/>
                <w:i/>
                <w:sz w:val="24"/>
                <w:szCs w:val="24"/>
              </w:rPr>
              <w:t xml:space="preserve">Direct service connection </w:t>
            </w:r>
          </w:p>
        </w:tc>
        <w:tc>
          <w:tcPr>
            <w:tcW w:w="3690" w:type="dxa"/>
          </w:tcPr>
          <w:p w:rsidR="00C17C12" w:rsidRPr="00071763" w:rsidRDefault="00C17C12">
            <w:pPr>
              <w:rPr>
                <w:rFonts w:ascii="Times New Roman" w:hAnsi="Times New Roman" w:cs="Times New Roman"/>
                <w:i/>
                <w:sz w:val="24"/>
                <w:szCs w:val="24"/>
              </w:rPr>
            </w:pPr>
            <w:r w:rsidRPr="00071763">
              <w:rPr>
                <w:rFonts w:ascii="Times New Roman" w:hAnsi="Times New Roman" w:cs="Times New Roman"/>
                <w:i/>
                <w:sz w:val="24"/>
                <w:szCs w:val="24"/>
              </w:rPr>
              <w:t xml:space="preserve">Aggravation </w:t>
            </w:r>
          </w:p>
        </w:tc>
        <w:tc>
          <w:tcPr>
            <w:tcW w:w="3600" w:type="dxa"/>
          </w:tcPr>
          <w:p w:rsidR="00C17C12" w:rsidRPr="00071763" w:rsidRDefault="00C17C12">
            <w:pPr>
              <w:rPr>
                <w:rFonts w:ascii="Times New Roman" w:hAnsi="Times New Roman" w:cs="Times New Roman"/>
                <w:i/>
                <w:sz w:val="24"/>
                <w:szCs w:val="24"/>
              </w:rPr>
            </w:pPr>
            <w:r w:rsidRPr="00071763">
              <w:rPr>
                <w:rFonts w:ascii="Times New Roman" w:hAnsi="Times New Roman" w:cs="Times New Roman"/>
                <w:i/>
                <w:sz w:val="24"/>
                <w:szCs w:val="24"/>
              </w:rPr>
              <w:t xml:space="preserve">Secondary service connection </w:t>
            </w:r>
          </w:p>
        </w:tc>
        <w:tc>
          <w:tcPr>
            <w:tcW w:w="1440" w:type="dxa"/>
          </w:tcPr>
          <w:p w:rsidR="00C17C12" w:rsidRPr="00071763" w:rsidRDefault="00C17C12">
            <w:pPr>
              <w:rPr>
                <w:rFonts w:ascii="Times New Roman" w:hAnsi="Times New Roman" w:cs="Times New Roman"/>
                <w:i/>
                <w:sz w:val="24"/>
                <w:szCs w:val="24"/>
              </w:rPr>
            </w:pPr>
            <w:r w:rsidRPr="00071763">
              <w:rPr>
                <w:rFonts w:ascii="Times New Roman" w:hAnsi="Times New Roman" w:cs="Times New Roman"/>
                <w:i/>
                <w:sz w:val="24"/>
                <w:szCs w:val="24"/>
              </w:rPr>
              <w:t xml:space="preserve">Presumptive service connection </w:t>
            </w:r>
          </w:p>
        </w:tc>
      </w:tr>
      <w:tr w:rsidR="00C17C12" w:rsidTr="00033AC0">
        <w:tc>
          <w:tcPr>
            <w:tcW w:w="1548" w:type="dxa"/>
          </w:tcPr>
          <w:p w:rsidR="00C17C12" w:rsidRPr="00071763" w:rsidRDefault="00C17C12">
            <w:pPr>
              <w:rPr>
                <w:rFonts w:ascii="Times New Roman" w:hAnsi="Times New Roman" w:cs="Times New Roman"/>
                <w:b/>
                <w:sz w:val="24"/>
                <w:szCs w:val="24"/>
              </w:rPr>
            </w:pPr>
            <w:r w:rsidRPr="00071763">
              <w:rPr>
                <w:rFonts w:ascii="Times New Roman" w:hAnsi="Times New Roman" w:cs="Times New Roman"/>
                <w:b/>
                <w:sz w:val="24"/>
                <w:szCs w:val="24"/>
              </w:rPr>
              <w:t xml:space="preserve">Example of injury </w:t>
            </w:r>
          </w:p>
        </w:tc>
        <w:tc>
          <w:tcPr>
            <w:tcW w:w="3690" w:type="dxa"/>
          </w:tcPr>
          <w:p w:rsidR="00C17C12" w:rsidRDefault="00C17C12">
            <w:pPr>
              <w:rPr>
                <w:rFonts w:ascii="Times New Roman" w:hAnsi="Times New Roman" w:cs="Times New Roman"/>
                <w:sz w:val="24"/>
                <w:szCs w:val="24"/>
              </w:rPr>
            </w:pPr>
            <w:r>
              <w:rPr>
                <w:rFonts w:ascii="Times New Roman" w:hAnsi="Times New Roman" w:cs="Times New Roman"/>
                <w:sz w:val="24"/>
                <w:szCs w:val="24"/>
              </w:rPr>
              <w:t xml:space="preserve">Back injury likely caused by parachuting, road-marching, and heavy lifting </w:t>
            </w:r>
          </w:p>
        </w:tc>
        <w:tc>
          <w:tcPr>
            <w:tcW w:w="3690" w:type="dxa"/>
          </w:tcPr>
          <w:p w:rsidR="00C17C12" w:rsidRDefault="00C76FC3" w:rsidP="00351817">
            <w:pPr>
              <w:rPr>
                <w:rFonts w:ascii="Times New Roman" w:hAnsi="Times New Roman" w:cs="Times New Roman"/>
                <w:sz w:val="24"/>
                <w:szCs w:val="24"/>
              </w:rPr>
            </w:pPr>
            <w:r>
              <w:rPr>
                <w:rFonts w:ascii="Times New Roman" w:hAnsi="Times New Roman" w:cs="Times New Roman"/>
                <w:sz w:val="24"/>
                <w:szCs w:val="24"/>
              </w:rPr>
              <w:t xml:space="preserve">The veteran was noted to have signs, symptoms, or a diagnosis of L1-L2 herniated disc before service (pre-existing), but there is evidence that military service aggravated that pre-existing condition. </w:t>
            </w:r>
          </w:p>
        </w:tc>
        <w:tc>
          <w:tcPr>
            <w:tcW w:w="3600" w:type="dxa"/>
          </w:tcPr>
          <w:p w:rsidR="00C17C12" w:rsidRDefault="00C76FC3" w:rsidP="00033AC0">
            <w:pPr>
              <w:rPr>
                <w:rFonts w:ascii="Times New Roman" w:hAnsi="Times New Roman" w:cs="Times New Roman"/>
                <w:sz w:val="24"/>
                <w:szCs w:val="24"/>
              </w:rPr>
            </w:pPr>
            <w:r w:rsidRPr="00C76FC3">
              <w:rPr>
                <w:rFonts w:ascii="Times New Roman" w:hAnsi="Times New Roman" w:cs="Times New Roman"/>
                <w:sz w:val="24"/>
                <w:szCs w:val="24"/>
              </w:rPr>
              <w:t xml:space="preserve">Veteran already had a herniated disc that caused numbness in his legs before service. The veteran later experienced a fall because of the numbness in his legs and injured his knee </w:t>
            </w:r>
            <w:r w:rsidR="00033AC0">
              <w:rPr>
                <w:rFonts w:ascii="Times New Roman" w:hAnsi="Times New Roman" w:cs="Times New Roman"/>
                <w:sz w:val="24"/>
                <w:szCs w:val="24"/>
              </w:rPr>
              <w:t>due to the</w:t>
            </w:r>
            <w:r w:rsidRPr="00C76FC3">
              <w:rPr>
                <w:rFonts w:ascii="Times New Roman" w:hAnsi="Times New Roman" w:cs="Times New Roman"/>
                <w:sz w:val="24"/>
                <w:szCs w:val="24"/>
              </w:rPr>
              <w:t xml:space="preserve"> fall.</w:t>
            </w:r>
          </w:p>
        </w:tc>
        <w:tc>
          <w:tcPr>
            <w:tcW w:w="1440" w:type="dxa"/>
          </w:tcPr>
          <w:p w:rsidR="00C17C12" w:rsidRDefault="00C76FC3">
            <w:pPr>
              <w:rPr>
                <w:rFonts w:ascii="Times New Roman" w:hAnsi="Times New Roman" w:cs="Times New Roman"/>
                <w:sz w:val="24"/>
                <w:szCs w:val="24"/>
              </w:rPr>
            </w:pPr>
            <w:r>
              <w:rPr>
                <w:rFonts w:ascii="Times New Roman" w:hAnsi="Times New Roman" w:cs="Times New Roman"/>
                <w:sz w:val="24"/>
                <w:szCs w:val="24"/>
              </w:rPr>
              <w:t xml:space="preserve">Some conditions are presumed to be service connected. In this case causation does not have to be asserted. </w:t>
            </w:r>
          </w:p>
        </w:tc>
      </w:tr>
      <w:tr w:rsidR="00C17C12" w:rsidTr="00033AC0">
        <w:tc>
          <w:tcPr>
            <w:tcW w:w="1548" w:type="dxa"/>
          </w:tcPr>
          <w:p w:rsidR="00C17C12" w:rsidRPr="00071763" w:rsidRDefault="00C17C12">
            <w:pPr>
              <w:rPr>
                <w:rFonts w:ascii="Times New Roman" w:hAnsi="Times New Roman" w:cs="Times New Roman"/>
                <w:b/>
                <w:sz w:val="24"/>
                <w:szCs w:val="24"/>
              </w:rPr>
            </w:pPr>
            <w:r w:rsidRPr="00071763">
              <w:rPr>
                <w:rFonts w:ascii="Times New Roman" w:hAnsi="Times New Roman" w:cs="Times New Roman"/>
                <w:b/>
                <w:sz w:val="24"/>
                <w:szCs w:val="24"/>
              </w:rPr>
              <w:t xml:space="preserve">Example causation statement  </w:t>
            </w:r>
          </w:p>
        </w:tc>
        <w:tc>
          <w:tcPr>
            <w:tcW w:w="3690" w:type="dxa"/>
          </w:tcPr>
          <w:p w:rsidR="00C17C12" w:rsidRDefault="00C17C12">
            <w:pPr>
              <w:rPr>
                <w:rFonts w:ascii="Times New Roman" w:hAnsi="Times New Roman" w:cs="Times New Roman"/>
                <w:sz w:val="24"/>
                <w:szCs w:val="24"/>
              </w:rPr>
            </w:pPr>
            <w:r>
              <w:rPr>
                <w:rFonts w:ascii="Times New Roman" w:hAnsi="Times New Roman" w:cs="Times New Roman"/>
                <w:sz w:val="24"/>
                <w:szCs w:val="24"/>
              </w:rPr>
              <w:t xml:space="preserve">“Given the patient’s history of Airborne jumps, which can cause significant damage to the intervertebral discs, his reports of pain and aggravation of the injury during subsequent training and service, and his records of signs and symptoms of intervertebral disc injury during and after service, it is my medical opinion that it is at least likely as not that his current L1-L2 herniated disc injury was directly caused by his military service.” </w:t>
            </w:r>
          </w:p>
        </w:tc>
        <w:tc>
          <w:tcPr>
            <w:tcW w:w="3690" w:type="dxa"/>
          </w:tcPr>
          <w:p w:rsidR="00351817" w:rsidRDefault="00351817" w:rsidP="00351817">
            <w:pPr>
              <w:jc w:val="both"/>
              <w:rPr>
                <w:rFonts w:ascii="Times New Roman" w:hAnsi="Times New Roman" w:cs="Times New Roman"/>
                <w:sz w:val="24"/>
                <w:szCs w:val="24"/>
              </w:rPr>
            </w:pPr>
            <w:r>
              <w:rPr>
                <w:rFonts w:ascii="Times New Roman" w:hAnsi="Times New Roman" w:cs="Times New Roman"/>
                <w:sz w:val="24"/>
                <w:szCs w:val="24"/>
              </w:rPr>
              <w:t xml:space="preserve"> </w:t>
            </w:r>
            <w:r w:rsidR="00C76FC3">
              <w:rPr>
                <w:rFonts w:ascii="Times New Roman" w:hAnsi="Times New Roman" w:cs="Times New Roman"/>
                <w:sz w:val="24"/>
                <w:szCs w:val="24"/>
              </w:rPr>
              <w:t xml:space="preserve">Documentation of an increase in the disability in the veteran’s service records is the best means for proving that the disability was aggravated by service. </w:t>
            </w:r>
          </w:p>
          <w:p w:rsidR="00C76FC3" w:rsidRDefault="00C76FC3" w:rsidP="00351817">
            <w:pPr>
              <w:jc w:val="both"/>
              <w:rPr>
                <w:rFonts w:ascii="Times New Roman" w:hAnsi="Times New Roman" w:cs="Times New Roman"/>
                <w:sz w:val="24"/>
                <w:szCs w:val="24"/>
              </w:rPr>
            </w:pPr>
          </w:p>
          <w:p w:rsidR="00C76FC3" w:rsidRDefault="00C76FC3" w:rsidP="00351817">
            <w:pPr>
              <w:jc w:val="both"/>
              <w:rPr>
                <w:rFonts w:ascii="Times New Roman" w:hAnsi="Times New Roman" w:cs="Times New Roman"/>
                <w:sz w:val="24"/>
                <w:szCs w:val="24"/>
              </w:rPr>
            </w:pPr>
            <w:r>
              <w:rPr>
                <w:rFonts w:ascii="Times New Roman" w:hAnsi="Times New Roman" w:cs="Times New Roman"/>
                <w:sz w:val="24"/>
                <w:szCs w:val="24"/>
              </w:rPr>
              <w:t>“Given the patient’s initial pre-service diagnosis of L1-L2 herniation, his service medical record, which shows injury to his lower back after an Airborne jump and which indicates that his injury appeared to progress more rapidly than would be expected, and records and tests which show significant increase and aggravation of the original injury, it is my medical opinion that it is at least as likely as not that the veteran’s L1-L2 herniation increased in severity during service beyond the normal progression of that condition.”</w:t>
            </w:r>
          </w:p>
        </w:tc>
        <w:tc>
          <w:tcPr>
            <w:tcW w:w="3600" w:type="dxa"/>
          </w:tcPr>
          <w:p w:rsidR="00C76FC3" w:rsidRPr="00C76FC3" w:rsidRDefault="00C76FC3" w:rsidP="00C76FC3">
            <w:pPr>
              <w:rPr>
                <w:rFonts w:ascii="Times New Roman" w:hAnsi="Times New Roman" w:cs="Times New Roman"/>
                <w:sz w:val="24"/>
                <w:szCs w:val="24"/>
              </w:rPr>
            </w:pPr>
            <w:r w:rsidRPr="00C76FC3">
              <w:rPr>
                <w:rFonts w:ascii="Times New Roman" w:hAnsi="Times New Roman" w:cs="Times New Roman"/>
                <w:sz w:val="24"/>
                <w:szCs w:val="24"/>
              </w:rPr>
              <w:t xml:space="preserve">Secondary service connection depends on the finding that the primary injury is service connected. </w:t>
            </w:r>
          </w:p>
          <w:p w:rsidR="00033AC0" w:rsidRDefault="00033AC0" w:rsidP="00C76FC3">
            <w:pPr>
              <w:rPr>
                <w:rFonts w:ascii="Times New Roman" w:hAnsi="Times New Roman" w:cs="Times New Roman"/>
                <w:sz w:val="24"/>
                <w:szCs w:val="24"/>
              </w:rPr>
            </w:pPr>
          </w:p>
          <w:p w:rsidR="00C17C12" w:rsidRDefault="00C76FC3" w:rsidP="00C76FC3">
            <w:pPr>
              <w:rPr>
                <w:rFonts w:ascii="Times New Roman" w:hAnsi="Times New Roman" w:cs="Times New Roman"/>
                <w:sz w:val="24"/>
                <w:szCs w:val="24"/>
              </w:rPr>
            </w:pPr>
            <w:r w:rsidRPr="00C76FC3">
              <w:rPr>
                <w:rFonts w:ascii="Times New Roman" w:hAnsi="Times New Roman" w:cs="Times New Roman"/>
                <w:sz w:val="24"/>
                <w:szCs w:val="24"/>
              </w:rPr>
              <w:t>“Given the patient’s diagnosis of L1-L2 herniated disc injury, his continued reports of numbness and pain consistent with sciatic nerve involvement of that injury, the noted change in his gain due to that pain and numbness consistent with the diagnosis, and the subsequent fall, as reported to me in detail by the patient and his wife, it is my medical opinion that it is at least as likely as not that his current posterior cruciate ligament tear and knee dislocation are directly caused by his service connected L1-L2 herniated disc injury.”</w:t>
            </w:r>
          </w:p>
        </w:tc>
        <w:tc>
          <w:tcPr>
            <w:tcW w:w="1440" w:type="dxa"/>
          </w:tcPr>
          <w:p w:rsidR="00C17C12" w:rsidRDefault="00C76FC3">
            <w:pPr>
              <w:rPr>
                <w:rFonts w:ascii="Times New Roman" w:hAnsi="Times New Roman" w:cs="Times New Roman"/>
                <w:sz w:val="24"/>
                <w:szCs w:val="24"/>
              </w:rPr>
            </w:pPr>
            <w:r>
              <w:rPr>
                <w:rFonts w:ascii="Times New Roman" w:hAnsi="Times New Roman" w:cs="Times New Roman"/>
                <w:sz w:val="24"/>
                <w:szCs w:val="24"/>
              </w:rPr>
              <w:t xml:space="preserve">A physician’s report should include all of the other criteria for a VA report. </w:t>
            </w:r>
          </w:p>
        </w:tc>
      </w:tr>
    </w:tbl>
    <w:p w:rsidR="00CB69A7" w:rsidRPr="00C17C12" w:rsidRDefault="00334FF8">
      <w:pPr>
        <w:rPr>
          <w:rFonts w:ascii="Times New Roman" w:hAnsi="Times New Roman" w:cs="Times New Roman"/>
          <w:sz w:val="24"/>
          <w:szCs w:val="24"/>
        </w:rPr>
      </w:pPr>
    </w:p>
    <w:sectPr w:rsidR="00CB69A7" w:rsidRPr="00C17C12" w:rsidSect="00C17C1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C12"/>
    <w:rsid w:val="00033AC0"/>
    <w:rsid w:val="00071763"/>
    <w:rsid w:val="00334FF8"/>
    <w:rsid w:val="00351817"/>
    <w:rsid w:val="00B5531D"/>
    <w:rsid w:val="00C17C12"/>
    <w:rsid w:val="00C76FC3"/>
    <w:rsid w:val="00E9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C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Legal Aid Society of Cleveland</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Jeras, Iva</dc:creator>
  <cp:lastModifiedBy>Jeras, Iva</cp:lastModifiedBy>
  <cp:revision>2</cp:revision>
  <dcterms:created xsi:type="dcterms:W3CDTF">2014-07-22T18:23:00Z</dcterms:created>
  <dcterms:modified xsi:type="dcterms:W3CDTF">2014-07-22T18:23:00Z</dcterms:modified>
</cp:coreProperties>
</file>